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53FE" w14:textId="77777777" w:rsidR="00B01953" w:rsidRDefault="00B01953" w:rsidP="00B0195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8"/>
          <w:szCs w:val="48"/>
        </w:rPr>
      </w:pPr>
      <w:r>
        <w:rPr>
          <w:rFonts w:ascii="Times-Roman" w:hAnsi="Times-Roman" w:cs="Times-Roman"/>
          <w:sz w:val="48"/>
          <w:szCs w:val="48"/>
        </w:rPr>
        <w:t>IEEE Magnetics Society</w:t>
      </w:r>
    </w:p>
    <w:p w14:paraId="5EDC278B" w14:textId="547AF83D" w:rsidR="008663D9" w:rsidRPr="00DC71A2" w:rsidRDefault="00B01953" w:rsidP="00B01953">
      <w:pPr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="Times-Roman" w:hAnsi="Times-Roman" w:cs="Times-Roman"/>
          <w:sz w:val="48"/>
          <w:szCs w:val="48"/>
        </w:rPr>
        <w:t>Distinguished Lecturers for 2022</w:t>
      </w:r>
    </w:p>
    <w:p w14:paraId="0F8C3548" w14:textId="5F7A97CE" w:rsidR="00A90AFD" w:rsidRPr="00DC71A2" w:rsidRDefault="00A90AFD" w:rsidP="00693F3D">
      <w:pPr>
        <w:jc w:val="both"/>
        <w:rPr>
          <w:rFonts w:asciiTheme="majorBidi" w:hAnsiTheme="majorBidi" w:cstheme="majorBidi"/>
        </w:rPr>
      </w:pPr>
    </w:p>
    <w:p w14:paraId="5B8AA55B" w14:textId="77777777" w:rsidR="00B01953" w:rsidRDefault="00A90AFD" w:rsidP="00B01953">
      <w:pPr>
        <w:spacing w:after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19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Symmetry Breaking by Materials Engineering for </w:t>
      </w:r>
    </w:p>
    <w:p w14:paraId="37885B35" w14:textId="051FE410" w:rsidR="00B01953" w:rsidRPr="00B01953" w:rsidRDefault="00A90AFD" w:rsidP="00B01953">
      <w:pPr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B019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Spin</w:t>
      </w:r>
      <w:r w:rsidR="00DF7A92" w:rsidRPr="00B019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Pr="00B019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Orbit</w:t>
      </w:r>
      <w:r w:rsidR="00DF7A92" w:rsidRPr="00B019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-</w:t>
      </w:r>
      <w:r w:rsidRPr="00B0195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Torque Technology</w:t>
      </w:r>
    </w:p>
    <w:p w14:paraId="58C3A8CD" w14:textId="77777777" w:rsidR="00B01953" w:rsidRDefault="00A90AFD" w:rsidP="00B01953">
      <w:pPr>
        <w:spacing w:after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proofErr w:type="spellStart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Jingsheng</w:t>
      </w:r>
      <w:proofErr w:type="spellEnd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693F3D"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Chen</w:t>
      </w:r>
    </w:p>
    <w:p w14:paraId="2C7D781C" w14:textId="2AECD73E" w:rsidR="00A90AFD" w:rsidRPr="00B01953" w:rsidRDefault="00A90AFD" w:rsidP="00693F3D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National University of Singapore</w:t>
      </w:r>
    </w:p>
    <w:p w14:paraId="0BDD89E9" w14:textId="38B1BE4D" w:rsidR="00A90AFD" w:rsidRPr="00B01953" w:rsidRDefault="00A90AFD" w:rsidP="00693F3D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Electric manipulation of magnetization is essential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for the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integrat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ion of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magnetic functionalities in integrated circuit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. Spin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orbit torque (SOT)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originat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ing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from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coupling of electron spin and orbital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motion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through spin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orbital interaction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proofErr w:type="gramStart"/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is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able to</w:t>
      </w:r>
      <w:proofErr w:type="gramEnd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effectively manipulate magnetization. Symmetry breaking plays an important role in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spintronics based on SOT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SOT requires inversion asymmetry </w:t>
      </w:r>
      <w:proofErr w:type="gramStart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in order to</w:t>
      </w:r>
      <w:proofErr w:type="gramEnd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have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 net effect on magnetic materials, which is commonly realized by spatial asymmetry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 thin magnetic layer </w:t>
      </w:r>
      <w:r w:rsidR="00C71302"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sandwiched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between two dissimilar layers. This kind of structure restricts the SOT by mirror and rotational symmetries to have a particular form: an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“</w:t>
      </w:r>
      <w:proofErr w:type="spellStart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antidamping</w:t>
      </w:r>
      <w:proofErr w:type="spellEnd"/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-like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>”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component oriented in the film plane even upon reversal of the magnetization direction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Consequently,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magnetization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perpendicular to the film plane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cannot be deterministically switched with pure electric current. To achieve all-electric switching of perpendicular magnetization, it is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necessary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to break the mirror and rotational symmetries of 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sandwiched structure.</w:t>
      </w:r>
    </w:p>
    <w:p w14:paraId="21CDBA9C" w14:textId="3CBEF56B" w:rsidR="00A90AFD" w:rsidRPr="00B01953" w:rsidRDefault="00A90AFD" w:rsidP="00693F3D">
      <w:pPr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In this lecture, I will begin with a basic introduction of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physical origin of SOT, followed by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the related symmetry analysis of a magnetic thin film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in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 sandwiched structure for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generation of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net SOT effect. Then I will introduce a new method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sym w:font="Symbol" w:char="F0BE"/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composition gradient along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thin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film normal for breaking the inversion symmetry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sym w:font="Symbol" w:char="F0BE"/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to generate bulk-like SOT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[1]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, which enable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s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 thicker magnetic layer with high magnetic anisotropy.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An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overview o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f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the methods commonly used to break mirror and rotational symmetries </w:t>
      </w:r>
      <w:proofErr w:type="gramStart"/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in order to</w:t>
      </w:r>
      <w:proofErr w:type="gramEnd"/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realize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all-electric switching of perpendicular magnetization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will follow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. I will give a detailed discussion on our methods for the realization of all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electric switching of perpendicular magnetization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: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use of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spin source layer with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low magnetic symmetry and low crystal symmetry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,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which generates an out-of-plane SOT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[2]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sym w:font="Symbol" w:char="F02D"/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[4];</w:t>
      </w:r>
      <w:r w:rsidR="00C7130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 xml:space="preserve">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interfacial 3m1 symmetry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, which induces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new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“3m”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spin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torque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 xml:space="preserve">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[5];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precise control of the tilting of magnetocrystalline anisotropy easy axis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[6];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 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spin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-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current gradient along the current direction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 xml:space="preserve"> 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>[7]</w:t>
      </w:r>
      <w:r w:rsidRPr="00B01953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="003B76D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</w:p>
    <w:p w14:paraId="775441FE" w14:textId="70F3ECC3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Liu et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 “Electrical switching of perpendicular magnetization in a single ferromagnetic layer,”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Phys. Rev. B,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vol.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101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220402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, June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2020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  <w:p w14:paraId="76749F9C" w14:textId="7471BCC0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J.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Zhou et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, “Magnetic asymmetry induced anomalous spin-orbit torque in </w:t>
      </w:r>
      <w:proofErr w:type="spellStart"/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IrMn</w:t>
      </w:r>
      <w:proofErr w:type="spellEnd"/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,”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Phys. Rev. B,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vol.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101, 184403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, May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2020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  <w:p w14:paraId="731C2B11" w14:textId="1B028C88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J.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Zhou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e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“Large spin-orbit torque efficiency enhanced by magnetic structure of collinear antiferromagnet </w:t>
      </w:r>
      <w:proofErr w:type="spellStart"/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IrMn</w:t>
      </w:r>
      <w:proofErr w:type="spellEnd"/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,”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Sci. Adv.,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vol.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5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eaau6696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May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2019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  <w:p w14:paraId="1AAD0DB6" w14:textId="39D2C6CA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Q. </w:t>
      </w:r>
      <w:proofErr w:type="spellStart"/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Xie</w:t>
      </w:r>
      <w:proofErr w:type="spellEnd"/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et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, “Field-free magnetization switching induced by the unconventional spin–orbit torque from WTe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vertAlign w:val="subscript"/>
          <w:lang w:val="en-US"/>
        </w:rPr>
        <w:t>2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,”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val="en-US"/>
        </w:rPr>
        <w:t>APL Mater.,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vol.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9, 051114,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May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2021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.</w:t>
      </w:r>
    </w:p>
    <w:p w14:paraId="7BF3AD32" w14:textId="62BE4928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Liu et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 “Symmetry-dependent field-free switching of perpendicular magnetization,”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Nat. Nanotech.,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vol</w:t>
      </w:r>
      <w:r w:rsidR="001E42F5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16,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pp.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277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-282,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January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2021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  <w:p w14:paraId="4E484C34" w14:textId="1236246C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Liu et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>, “Current-induced magnetization switching in all-oxide heterostructures,”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  <w:lang w:val="en-US"/>
        </w:rPr>
        <w:t xml:space="preserve">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val="en-US"/>
        </w:rPr>
        <w:t xml:space="preserve">Nat.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Nanotech.,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vol.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14, 939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-944, September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2019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.</w:t>
      </w:r>
    </w:p>
    <w:p w14:paraId="46A0363D" w14:textId="0E8A581E" w:rsidR="00A90AFD" w:rsidRPr="00E82C8D" w:rsidRDefault="003B76D2" w:rsidP="003B76D2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S.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Chen et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al.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, “Free field electric switching of perpendicularly magnetized thin film by spin current gradient,”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</w:t>
      </w:r>
      <w:r w:rsidR="00A90AFD"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ACS Appl. Mater. Inter</w:t>
      </w:r>
      <w:r w:rsidRPr="00E82C8D"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  <w:t>faces,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vol.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 11, 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pp.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30446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-30452, July </w:t>
      </w:r>
      <w:r w:rsidR="00A90AFD" w:rsidRPr="00E82C8D">
        <w:rPr>
          <w:rFonts w:asciiTheme="majorBidi" w:hAnsiTheme="majorBidi" w:cstheme="majorBidi"/>
          <w:color w:val="000000" w:themeColor="text1"/>
          <w:sz w:val="18"/>
          <w:szCs w:val="18"/>
        </w:rPr>
        <w:t>2019</w:t>
      </w:r>
      <w:r w:rsidRPr="00E82C8D">
        <w:rPr>
          <w:rFonts w:asciiTheme="majorBidi" w:hAnsiTheme="majorBidi" w:cstheme="majorBidi"/>
          <w:color w:val="000000" w:themeColor="text1"/>
          <w:sz w:val="18"/>
          <w:szCs w:val="18"/>
        </w:rPr>
        <w:t xml:space="preserve">. </w:t>
      </w:r>
    </w:p>
    <w:p w14:paraId="0B4DA9B7" w14:textId="76565DB5" w:rsidR="00A90AFD" w:rsidRPr="00B01953" w:rsidRDefault="00E82C8D" w:rsidP="00693F3D">
      <w:pPr>
        <w:jc w:val="both"/>
        <w:rPr>
          <w:rFonts w:asciiTheme="majorBidi" w:hAnsiTheme="majorBidi" w:cstheme="majorBidi"/>
          <w:sz w:val="20"/>
          <w:szCs w:val="20"/>
        </w:rPr>
      </w:pPr>
      <w:r w:rsidRPr="00B01953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DEF9AAE" wp14:editId="5FC0FFAE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927735" cy="1210310"/>
            <wp:effectExtent l="0" t="0" r="571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22" cy="12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69655" w14:textId="124CA896" w:rsidR="00A90AFD" w:rsidRPr="00B01953" w:rsidRDefault="00A90AFD" w:rsidP="00693F3D">
      <w:pPr>
        <w:jc w:val="both"/>
        <w:rPr>
          <w:rStyle w:val="left1"/>
          <w:rFonts w:asciiTheme="majorBidi" w:hAnsiTheme="majorBidi" w:cstheme="majorBidi"/>
          <w:sz w:val="20"/>
          <w:szCs w:val="20"/>
        </w:rPr>
      </w:pPr>
      <w:proofErr w:type="spellStart"/>
      <w:r w:rsidRPr="00B01953">
        <w:rPr>
          <w:rFonts w:asciiTheme="majorBidi" w:hAnsiTheme="majorBidi" w:cstheme="majorBidi"/>
          <w:sz w:val="20"/>
          <w:szCs w:val="20"/>
        </w:rPr>
        <w:t>Jingsheng</w:t>
      </w:r>
      <w:proofErr w:type="spellEnd"/>
      <w:r w:rsidRPr="00B01953">
        <w:rPr>
          <w:rFonts w:asciiTheme="majorBidi" w:hAnsiTheme="majorBidi" w:cstheme="majorBidi"/>
          <w:sz w:val="20"/>
          <w:szCs w:val="20"/>
        </w:rPr>
        <w:t xml:space="preserve"> Chen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obtained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the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 B.S and </w:t>
      </w:r>
      <w:proofErr w:type="spellStart"/>
      <w:proofErr w:type="gramStart"/>
      <w:r w:rsidRPr="00B01953">
        <w:rPr>
          <w:rStyle w:val="left1"/>
          <w:rFonts w:asciiTheme="majorBidi" w:hAnsiTheme="majorBidi" w:cstheme="majorBidi"/>
          <w:sz w:val="20"/>
          <w:szCs w:val="20"/>
        </w:rPr>
        <w:t>Ph.D</w:t>
      </w:r>
      <w:proofErr w:type="spellEnd"/>
      <w:proofErr w:type="gramEnd"/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 degrees in 1994 and 1999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from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 Lanzhou University, China. From 1999 to 2001, he was postdoctoral fellow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at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Nanyang Technological University. During 2001-2007, he was a research scientist at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the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Data Storage Institute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, Singapore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.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Currently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he is an associate professor in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the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Department of Materials Science and Engineering, National University of Singapore. His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present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research interest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s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 include magnetic materials and devices for spintronics application, high anisotropy magnetic materials for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hard disk drives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, multiferroic materials, and emerging ferroelectric materials and devices</w:t>
      </w:r>
      <w:r w:rsidRPr="00B01953">
        <w:rPr>
          <w:rFonts w:asciiTheme="majorBidi" w:hAnsiTheme="majorBidi" w:cstheme="majorBidi"/>
          <w:sz w:val="20"/>
          <w:szCs w:val="20"/>
        </w:rPr>
        <w:t xml:space="preserve">.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From 2008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till the present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, he has been sponsored by Seagate Technology to develop high anisotropy magnetic recording media for heat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-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assisted magnetic recording.</w:t>
      </w:r>
      <w:r w:rsidRPr="00B01953">
        <w:rPr>
          <w:rFonts w:asciiTheme="majorBidi" w:hAnsiTheme="majorBidi" w:cstheme="majorBidi"/>
          <w:sz w:val="20"/>
          <w:szCs w:val="20"/>
        </w:rPr>
        <w:t xml:space="preserve">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He has authored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 or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co-authored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over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300 refereed journal papers, holds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more than 10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>patents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,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 and has made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over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50 invited presentations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at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international conferences. He is a senior member of IEEE and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 xml:space="preserve">has 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served as the program chair of </w:t>
      </w:r>
      <w:r w:rsidR="00E82C8D">
        <w:rPr>
          <w:rStyle w:val="left1"/>
          <w:rFonts w:asciiTheme="majorBidi" w:hAnsiTheme="majorBidi" w:cstheme="majorBidi"/>
          <w:sz w:val="20"/>
          <w:szCs w:val="20"/>
        </w:rPr>
        <w:t>2018 International Magnetics Conference</w:t>
      </w:r>
      <w:r w:rsidRPr="00B01953">
        <w:rPr>
          <w:rStyle w:val="left1"/>
          <w:rFonts w:asciiTheme="majorBidi" w:hAnsiTheme="majorBidi" w:cstheme="majorBidi"/>
          <w:sz w:val="20"/>
          <w:szCs w:val="20"/>
        </w:rPr>
        <w:t xml:space="preserve">. </w:t>
      </w:r>
    </w:p>
    <w:p w14:paraId="64E94069" w14:textId="1380A9DE" w:rsidR="00A90AFD" w:rsidRPr="00B01953" w:rsidRDefault="00A90AFD" w:rsidP="00693F3D">
      <w:pPr>
        <w:jc w:val="both"/>
        <w:rPr>
          <w:rFonts w:asciiTheme="majorBidi" w:hAnsiTheme="majorBidi" w:cstheme="majorBidi"/>
          <w:sz w:val="20"/>
          <w:szCs w:val="20"/>
        </w:rPr>
      </w:pPr>
      <w:r w:rsidRPr="00B01953">
        <w:rPr>
          <w:rFonts w:asciiTheme="majorBidi" w:hAnsiTheme="majorBidi" w:cstheme="majorBidi"/>
          <w:sz w:val="20"/>
          <w:szCs w:val="20"/>
        </w:rPr>
        <w:t xml:space="preserve">Contact: </w:t>
      </w:r>
      <w:proofErr w:type="spellStart"/>
      <w:r w:rsidRPr="00B01953">
        <w:rPr>
          <w:rFonts w:asciiTheme="majorBidi" w:hAnsiTheme="majorBidi" w:cstheme="majorBidi"/>
          <w:sz w:val="20"/>
          <w:szCs w:val="20"/>
        </w:rPr>
        <w:t>Jingsheng</w:t>
      </w:r>
      <w:proofErr w:type="spellEnd"/>
      <w:r w:rsidRPr="00B01953">
        <w:rPr>
          <w:rFonts w:asciiTheme="majorBidi" w:hAnsiTheme="majorBidi" w:cstheme="majorBidi"/>
          <w:sz w:val="20"/>
          <w:szCs w:val="20"/>
        </w:rPr>
        <w:t xml:space="preserve"> Chen, Department of Materials Science and Engineering, National University of Singapore, 9 Engineering Drive 1, Singapore 117595; e-mail: msecj@nus.edu.sg</w:t>
      </w:r>
    </w:p>
    <w:p w14:paraId="7D1E9552" w14:textId="77777777" w:rsidR="00A90AFD" w:rsidRPr="00B01953" w:rsidRDefault="00A90AFD" w:rsidP="00693F3D">
      <w:pPr>
        <w:jc w:val="both"/>
        <w:rPr>
          <w:rFonts w:asciiTheme="majorBidi" w:hAnsiTheme="majorBidi" w:cstheme="majorBidi"/>
          <w:sz w:val="20"/>
          <w:szCs w:val="20"/>
        </w:rPr>
      </w:pPr>
    </w:p>
    <w:p w14:paraId="286E39D3" w14:textId="61D83947" w:rsidR="00AF33B4" w:rsidRPr="00B01953" w:rsidRDefault="00A90AFD" w:rsidP="003848DC">
      <w:pPr>
        <w:jc w:val="both"/>
        <w:rPr>
          <w:rFonts w:asciiTheme="majorBidi" w:hAnsiTheme="majorBidi" w:cstheme="majorBidi"/>
          <w:sz w:val="20"/>
          <w:szCs w:val="20"/>
        </w:rPr>
      </w:pPr>
      <w:r w:rsidRPr="00B01953">
        <w:rPr>
          <w:rFonts w:asciiTheme="majorBidi" w:hAnsiTheme="majorBidi" w:cstheme="majorBidi"/>
          <w:sz w:val="20"/>
          <w:szCs w:val="20"/>
        </w:rPr>
        <w:t xml:space="preserve"> </w:t>
      </w:r>
    </w:p>
    <w:sectPr w:rsidR="00AF33B4" w:rsidRPr="00B01953" w:rsidSect="00AF3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733E"/>
    <w:multiLevelType w:val="hybridMultilevel"/>
    <w:tmpl w:val="48625B7E"/>
    <w:lvl w:ilvl="0" w:tplc="D2B62DD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53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FD"/>
    <w:rsid w:val="00010ED8"/>
    <w:rsid w:val="00070D4D"/>
    <w:rsid w:val="000D47E8"/>
    <w:rsid w:val="000F0EF9"/>
    <w:rsid w:val="001179A2"/>
    <w:rsid w:val="001A4DCB"/>
    <w:rsid w:val="001E42F5"/>
    <w:rsid w:val="003848DC"/>
    <w:rsid w:val="003A11E4"/>
    <w:rsid w:val="003B76D2"/>
    <w:rsid w:val="004708C0"/>
    <w:rsid w:val="004B09F6"/>
    <w:rsid w:val="004D22E9"/>
    <w:rsid w:val="005D51EC"/>
    <w:rsid w:val="005E6AAA"/>
    <w:rsid w:val="006870AB"/>
    <w:rsid w:val="00693F3D"/>
    <w:rsid w:val="00737871"/>
    <w:rsid w:val="0084211E"/>
    <w:rsid w:val="008628AF"/>
    <w:rsid w:val="008663D9"/>
    <w:rsid w:val="00901C05"/>
    <w:rsid w:val="009C2332"/>
    <w:rsid w:val="009D4E43"/>
    <w:rsid w:val="00A90AFD"/>
    <w:rsid w:val="00AE611A"/>
    <w:rsid w:val="00AF33B4"/>
    <w:rsid w:val="00B01953"/>
    <w:rsid w:val="00B16F7B"/>
    <w:rsid w:val="00C71302"/>
    <w:rsid w:val="00D40123"/>
    <w:rsid w:val="00DC71A2"/>
    <w:rsid w:val="00DF7A92"/>
    <w:rsid w:val="00E34500"/>
    <w:rsid w:val="00E82C8D"/>
    <w:rsid w:val="00F8274B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6DFC"/>
  <w15:chartTrackingRefBased/>
  <w15:docId w15:val="{3B334CAB-8D8D-4CBD-ACFE-6F0066C7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0D4D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A90AFD"/>
    <w:pPr>
      <w:spacing w:after="0" w:line="240" w:lineRule="auto"/>
      <w:ind w:left="720"/>
      <w:contextualSpacing/>
    </w:pPr>
    <w:rPr>
      <w:sz w:val="24"/>
      <w:szCs w:val="24"/>
      <w:lang w:val="en-SG" w:eastAsia="zh-CN" w:bidi="ar-SA"/>
    </w:rPr>
  </w:style>
  <w:style w:type="character" w:customStyle="1" w:styleId="left1">
    <w:name w:val="left1"/>
    <w:rsid w:val="00A90AFD"/>
  </w:style>
  <w:style w:type="paragraph" w:styleId="NormalWeb">
    <w:name w:val="Normal (Web)"/>
    <w:basedOn w:val="Normal"/>
    <w:uiPriority w:val="99"/>
    <w:unhideWhenUsed/>
    <w:rsid w:val="00A90AFD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  <w:lang w:eastAsia="en-US" w:bidi="ar-SA"/>
    </w:rPr>
  </w:style>
  <w:style w:type="character" w:styleId="Emphasis">
    <w:name w:val="Emphasis"/>
    <w:basedOn w:val="DefaultParagraphFont"/>
    <w:uiPriority w:val="20"/>
    <w:qFormat/>
    <w:rsid w:val="00A90AFD"/>
    <w:rPr>
      <w:i/>
      <w:iCs/>
    </w:rPr>
  </w:style>
  <w:style w:type="character" w:styleId="Hyperlink">
    <w:name w:val="Hyperlink"/>
    <w:basedOn w:val="DefaultParagraphFont"/>
    <w:uiPriority w:val="99"/>
    <w:unhideWhenUsed/>
    <w:rsid w:val="00842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Chen Jingsheng</cp:lastModifiedBy>
  <cp:revision>2</cp:revision>
  <dcterms:created xsi:type="dcterms:W3CDTF">2022-06-20T07:54:00Z</dcterms:created>
  <dcterms:modified xsi:type="dcterms:W3CDTF">2022-06-20T07:54:00Z</dcterms:modified>
</cp:coreProperties>
</file>